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theme/theme1.xml" ContentType="application/vnd.openxmlformats-officedocument.theme+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F9B" w:rsidRDefault="003B5F9B" w:rsidP="003B5F9B"/>
    <w:p w:rsidR="003B5F9B" w:rsidRDefault="003B5F9B" w:rsidP="003B5F9B"/>
    <w:p w:rsidR="003B5F9B" w:rsidRDefault="003B5F9B" w:rsidP="003B5F9B"/>
    <w:p w:rsidR="003B5F9B" w:rsidRDefault="003B5F9B" w:rsidP="003B5F9B"/>
    <w:p w:rsidR="003B5F9B" w:rsidRDefault="003B5F9B" w:rsidP="003B5F9B"/>
    <w:p w:rsidR="003B5F9B" w:rsidRDefault="003B5F9B" w:rsidP="003B5F9B"/>
    <w:p w:rsidR="003B5F9B" w:rsidRDefault="003B5F9B" w:rsidP="003B5F9B"/>
    <w:p w:rsidR="003B5F9B" w:rsidRDefault="003B5F9B" w:rsidP="003B5F9B"/>
    <w:p w:rsidR="003B5F9B" w:rsidRDefault="003B5F9B" w:rsidP="003B5F9B"/>
    <w:p w:rsidR="003B5F9B" w:rsidRDefault="003B5F9B" w:rsidP="003B5F9B"/>
    <w:p w:rsidR="003B5F9B" w:rsidRDefault="003B5F9B" w:rsidP="003B5F9B"/>
    <w:p w:rsidR="003B5F9B" w:rsidRPr="0084591E" w:rsidRDefault="003B5F9B" w:rsidP="003B5F9B">
      <w:pPr>
        <w:jc w:val="center"/>
        <w:rPr>
          <w:rFonts w:ascii="Times New Roman" w:hAnsi="Times New Roman"/>
        </w:rPr>
      </w:pPr>
      <w:r>
        <w:rPr>
          <w:rFonts w:ascii="Times New Roman" w:hAnsi="Times New Roman"/>
        </w:rPr>
        <w:t>SCIENCE &amp; RELIGION: CONFLICT OR COHERENCE?</w:t>
      </w: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b/>
          <w:sz w:val="32"/>
        </w:rPr>
      </w:pPr>
    </w:p>
    <w:p w:rsidR="003B5F9B" w:rsidRDefault="003B5F9B" w:rsidP="003B5F9B">
      <w:pPr>
        <w:jc w:val="center"/>
        <w:rPr>
          <w:rFonts w:ascii="Times New Roman" w:hAnsi="Times New Roman"/>
        </w:rPr>
      </w:pPr>
      <w:r>
        <w:rPr>
          <w:rFonts w:ascii="Times New Roman" w:hAnsi="Times New Roman"/>
        </w:rPr>
        <w:t>Jordan Tong</w:t>
      </w:r>
    </w:p>
    <w:p w:rsidR="003B5F9B" w:rsidRDefault="003B5F9B" w:rsidP="003B5F9B">
      <w:pPr>
        <w:jc w:val="center"/>
        <w:rPr>
          <w:rFonts w:ascii="Times New Roman" w:hAnsi="Times New Roman"/>
        </w:rPr>
      </w:pPr>
      <w:r>
        <w:rPr>
          <w:rFonts w:ascii="Times New Roman" w:hAnsi="Times New Roman"/>
        </w:rPr>
        <w:t>CSAP 550MD: Historical Theology</w:t>
      </w:r>
    </w:p>
    <w:p w:rsidR="003B5F9B" w:rsidRDefault="003B5F9B" w:rsidP="003B5F9B">
      <w:pPr>
        <w:jc w:val="center"/>
        <w:rPr>
          <w:rFonts w:ascii="Times New Roman" w:hAnsi="Times New Roman"/>
        </w:rPr>
      </w:pPr>
      <w:r>
        <w:rPr>
          <w:rFonts w:ascii="Times New Roman" w:hAnsi="Times New Roman"/>
        </w:rPr>
        <w:t>Dr. Clay Jones</w:t>
      </w:r>
    </w:p>
    <w:p w:rsidR="003B5F9B" w:rsidRDefault="003B5F9B" w:rsidP="003B5F9B">
      <w:pPr>
        <w:jc w:val="center"/>
        <w:rPr>
          <w:rFonts w:ascii="Times New Roman" w:hAnsi="Times New Roman"/>
        </w:rPr>
      </w:pPr>
      <w:r>
        <w:rPr>
          <w:rFonts w:ascii="Times New Roman" w:hAnsi="Times New Roman"/>
        </w:rPr>
        <w:t>November 27, 2012</w:t>
      </w:r>
    </w:p>
    <w:p w:rsidR="004072D3" w:rsidRDefault="003B5F9B" w:rsidP="003B5F9B">
      <w:pPr>
        <w:spacing w:line="480" w:lineRule="auto"/>
        <w:ind w:firstLine="720"/>
      </w:pPr>
      <w:r>
        <w:br w:type="page"/>
      </w:r>
      <w:r w:rsidR="002A6896">
        <w:t xml:space="preserve">To many modern men, the relationship between science and </w:t>
      </w:r>
      <w:r w:rsidR="00F7330F">
        <w:t>religion</w:t>
      </w:r>
      <w:r w:rsidR="002A6896">
        <w:t xml:space="preserve"> conjures up images of conflict, suppression, and the march of reason against the tides of ancient faiths. </w:t>
      </w:r>
      <w:r w:rsidR="00A509F5">
        <w:t>Popular</w:t>
      </w:r>
      <w:r w:rsidR="002A6896">
        <w:t xml:space="preserve"> opinion regards science and religion as mortal enemies, battli</w:t>
      </w:r>
      <w:r w:rsidR="00760407">
        <w:t>ng each other for truth claims. S</w:t>
      </w:r>
      <w:r w:rsidR="00A509F5">
        <w:t>cience</w:t>
      </w:r>
      <w:r w:rsidR="00760407">
        <w:t xml:space="preserve"> is</w:t>
      </w:r>
      <w:r w:rsidR="00A509F5">
        <w:t xml:space="preserve"> </w:t>
      </w:r>
      <w:r w:rsidR="00176D2E">
        <w:t>hailed</w:t>
      </w:r>
      <w:r w:rsidR="002A6896">
        <w:t xml:space="preserve"> as bearer of all truth, releasing man from the shackles of religion that hinder progress. Examples are cited to buttress this claim, from disse</w:t>
      </w:r>
      <w:r w:rsidR="00F7330F">
        <w:t>nters being burned at the stake</w:t>
      </w:r>
      <w:r w:rsidR="002A6896">
        <w:t xml:space="preserve"> to scientifically revolutionary books being banned</w:t>
      </w:r>
      <w:r w:rsidR="00F7330F">
        <w:t xml:space="preserve"> from the general population</w:t>
      </w:r>
      <w:r w:rsidR="002A6896">
        <w:t>. But is this a correct understanding of this relationship? Does history support this conflict thesis? Are science and religion necessarily in conflict?</w:t>
      </w:r>
    </w:p>
    <w:p w:rsidR="00121E06" w:rsidRDefault="00F7330F" w:rsidP="002E5221">
      <w:pPr>
        <w:spacing w:line="480" w:lineRule="auto"/>
        <w:ind w:firstLine="720"/>
      </w:pPr>
      <w:r>
        <w:t>This paper aims to bring clarity to this historical issue and pa</w:t>
      </w:r>
      <w:r w:rsidR="00A509F5">
        <w:t>int an accurate portrait of the</w:t>
      </w:r>
      <w:r>
        <w:t xml:space="preserve"> supposed conflict. The relationship between science and religion </w:t>
      </w:r>
      <w:r w:rsidR="00A509F5">
        <w:t xml:space="preserve">is indeed complicated, </w:t>
      </w:r>
      <w:r w:rsidR="00E1393F">
        <w:t xml:space="preserve">one that resists simple stereotypes. </w:t>
      </w:r>
      <w:r w:rsidR="00A509F5">
        <w:t>Historians Ronald Numbers and David Lindberg state, “[the history of science and religion is] a complex and diverse interaction that defies reduction to simple ‘conflict’ or ‘harmony’… it cannot be said that scientists and theologians…engaged in protracted warfare.”</w:t>
      </w:r>
      <w:r w:rsidR="00A509F5">
        <w:rPr>
          <w:rStyle w:val="FootnoteReference"/>
        </w:rPr>
        <w:footnoteReference w:id="-1"/>
      </w:r>
      <w:r w:rsidR="00A509F5">
        <w:t xml:space="preserve"> </w:t>
      </w:r>
      <w:r>
        <w:t xml:space="preserve">Two major events in this historic relationship will be examined – the bookends of </w:t>
      </w:r>
      <w:r w:rsidR="00A509F5">
        <w:t>the science and religion debate</w:t>
      </w:r>
      <w:r>
        <w:t xml:space="preserve">, the Galileo affair and the Scopes </w:t>
      </w:r>
      <w:r w:rsidR="006C5B95">
        <w:t>trial</w:t>
      </w:r>
      <w:r>
        <w:t xml:space="preserve">. The record will be set straight with each incident, detailing the historical facts and uncovering many of the errors </w:t>
      </w:r>
      <w:r w:rsidR="00A509F5">
        <w:t>made</w:t>
      </w:r>
      <w:r>
        <w:t xml:space="preserve"> when ass</w:t>
      </w:r>
      <w:r w:rsidR="00DF1E6C">
        <w:t>essing past events. Second</w:t>
      </w:r>
      <w:r>
        <w:t xml:space="preserve">, </w:t>
      </w:r>
      <w:r w:rsidR="00DF1E6C">
        <w:t>this paper will show no inherent conflict exists between science and religion proper, but in the worldviews of scientists and theologians. In fact, one should come to realize that religion served to advance the scientific project and in some cases provided the philosophical foundations to make certain discoveries possible.</w:t>
      </w:r>
    </w:p>
    <w:p w:rsidR="00121E06" w:rsidRDefault="00121E06" w:rsidP="002E5221">
      <w:pPr>
        <w:spacing w:line="480" w:lineRule="auto"/>
      </w:pPr>
    </w:p>
    <w:p w:rsidR="00DE105C" w:rsidRDefault="00121E06" w:rsidP="002E5221">
      <w:pPr>
        <w:spacing w:line="480" w:lineRule="auto"/>
        <w:ind w:firstLine="720"/>
      </w:pPr>
      <w:r>
        <w:t xml:space="preserve">Before examining these two historical events, </w:t>
      </w:r>
      <w:r w:rsidR="00E1393F">
        <w:t>a few definitions are needed, for many terms carry with them different definitions in the minds of different individuals. Science, broadly defined, is the study of the natural world through the process o</w:t>
      </w:r>
      <w:r w:rsidR="005262C5">
        <w:t xml:space="preserve">f theory and observation. It seeks to understand the “how” of the natural order. </w:t>
      </w:r>
      <w:r w:rsidR="00D97A37">
        <w:t>The terms “religion” and “Christianity” will be used interchangeably throughout this paper. By definition, they refer to a philosophy or worldview</w:t>
      </w:r>
      <w:r w:rsidR="003655D5">
        <w:t>, specifically the Christian worldview</w:t>
      </w:r>
      <w:r w:rsidR="00D97A37">
        <w:t xml:space="preserve">, addressing topics such as God, morality, purpose, </w:t>
      </w:r>
      <w:r w:rsidR="003655D5">
        <w:t xml:space="preserve">and anything else outside the natural realm. </w:t>
      </w:r>
    </w:p>
    <w:p w:rsidR="00E900B2" w:rsidRDefault="004C163D" w:rsidP="00B75BF1">
      <w:pPr>
        <w:pStyle w:val="Heading1"/>
        <w:spacing w:line="480" w:lineRule="auto"/>
      </w:pPr>
      <w:r>
        <w:t>The Center of the Solar System</w:t>
      </w:r>
      <w:r w:rsidR="00DE105C">
        <w:t>: Earth or Sun?</w:t>
      </w:r>
    </w:p>
    <w:p w:rsidR="0098207C" w:rsidRDefault="00DE105C" w:rsidP="002E5221">
      <w:pPr>
        <w:spacing w:line="480" w:lineRule="auto"/>
      </w:pPr>
      <w:r>
        <w:t xml:space="preserve">According to popular opinion derived from the views of authors such as Andrew Dickson White, </w:t>
      </w:r>
      <w:r w:rsidR="00760407">
        <w:t>Christians of the 16</w:t>
      </w:r>
      <w:r w:rsidR="00760407" w:rsidRPr="00760407">
        <w:rPr>
          <w:vertAlign w:val="superscript"/>
        </w:rPr>
        <w:t>th</w:t>
      </w:r>
      <w:r w:rsidR="00760407">
        <w:t xml:space="preserve"> century</w:t>
      </w:r>
      <w:r>
        <w:t xml:space="preserve"> vehemently denounced </w:t>
      </w:r>
      <w:r w:rsidR="00760407">
        <w:t xml:space="preserve">Copernicus’ revolutionary theory </w:t>
      </w:r>
      <w:r>
        <w:t xml:space="preserve">of a heliocentric solar system, claiming it directly contradicted the Bible. John Calvin is accused of saying </w:t>
      </w:r>
      <w:r w:rsidR="00017771">
        <w:t xml:space="preserve">that </w:t>
      </w:r>
      <w:r>
        <w:t xml:space="preserve">the </w:t>
      </w:r>
      <w:r w:rsidR="00017771">
        <w:t>authority of Copernicus is not above that of the Holy Spirit.</w:t>
      </w:r>
      <w:r w:rsidR="00017771">
        <w:rPr>
          <w:rStyle w:val="FootnoteReference"/>
        </w:rPr>
        <w:footnoteReference w:id="0"/>
      </w:r>
      <w:r w:rsidR="00017771">
        <w:t xml:space="preserve"> After Copernicus, the Catholic Church is </w:t>
      </w:r>
      <w:r w:rsidR="007576AC">
        <w:t>accused of</w:t>
      </w:r>
      <w:r w:rsidR="00017771">
        <w:t xml:space="preserve"> torturing and imprisoning Galileo for endorsing the Copernican theory. </w:t>
      </w:r>
      <w:r w:rsidR="007576AC">
        <w:t>With both men, the church was the impediment of science. These stories serve to reinforce</w:t>
      </w:r>
      <w:r w:rsidR="00017771">
        <w:t xml:space="preserve"> the image of ignorant rel</w:t>
      </w:r>
      <w:r w:rsidR="007576AC">
        <w:t>igion competing with</w:t>
      </w:r>
      <w:r w:rsidR="00B91E71">
        <w:t xml:space="preserve"> reason and science, and</w:t>
      </w:r>
      <w:r w:rsidR="00017771">
        <w:t xml:space="preserve"> </w:t>
      </w:r>
      <w:r w:rsidR="00B91E71">
        <w:t>as with all legends, truth is mixed with error.</w:t>
      </w:r>
      <w:r w:rsidR="007576AC">
        <w:t xml:space="preserve"> In reality, the story is very complex. </w:t>
      </w:r>
    </w:p>
    <w:p w:rsidR="004072D3" w:rsidRDefault="00AE4672" w:rsidP="00B75BF1">
      <w:pPr>
        <w:spacing w:line="480" w:lineRule="auto"/>
        <w:ind w:firstLine="720"/>
      </w:pPr>
      <w:r>
        <w:t xml:space="preserve">When interpreting historical events, </w:t>
      </w:r>
      <w:r w:rsidR="00C81933">
        <w:t>many commit the error of</w:t>
      </w:r>
      <w:r>
        <w:t xml:space="preserve"> assessing history through the lens of modern man. But to accurately understand the controversy of Copernicus and Galileo, one must step into the shoes of a sixteenth century individual, understanding the political, religious, and scientific</w:t>
      </w:r>
      <w:r w:rsidR="00621AD5">
        <w:t xml:space="preserve"> climate of the day. The contemporaries of Copernicus had good reason to accept a geocentric model of the solar system apart from any teaching of the Bible or the church. First, the common sense experience of everyday man seemed to be that of the sun revolving around the earth. Second, Aristotelian physics and philosophy dominated thought during this time, placing </w:t>
      </w:r>
      <w:r w:rsidR="00550484">
        <w:t>the earth at the center of the universe</w:t>
      </w:r>
      <w:r w:rsidR="00621AD5">
        <w:t xml:space="preserve">. Finally, the absence of stellar parallax provided perhaps the most powerful </w:t>
      </w:r>
      <w:r w:rsidR="00515609">
        <w:t xml:space="preserve">evidence against </w:t>
      </w:r>
      <w:proofErr w:type="spellStart"/>
      <w:r w:rsidR="00515609">
        <w:t>heliocentrism</w:t>
      </w:r>
      <w:proofErr w:type="spellEnd"/>
      <w:r w:rsidR="00515609">
        <w:t>.</w:t>
      </w:r>
      <w:r w:rsidR="00515609">
        <w:rPr>
          <w:rStyle w:val="FootnoteReference"/>
        </w:rPr>
        <w:footnoteReference w:id="1"/>
      </w:r>
    </w:p>
    <w:p w:rsidR="004072D3" w:rsidRDefault="0039684B" w:rsidP="002E5221">
      <w:pPr>
        <w:spacing w:line="480" w:lineRule="auto"/>
        <w:ind w:firstLine="720"/>
      </w:pPr>
      <w:r>
        <w:t>Given the absence of modern astronomical data and the 16</w:t>
      </w:r>
      <w:r w:rsidRPr="0039684B">
        <w:rPr>
          <w:vertAlign w:val="superscript"/>
        </w:rPr>
        <w:t>th</w:t>
      </w:r>
      <w:r>
        <w:t xml:space="preserve"> century evidence listed above, t</w:t>
      </w:r>
      <w:r w:rsidR="00515609">
        <w:t>he the</w:t>
      </w:r>
      <w:r>
        <w:t xml:space="preserve">ory put forth by Copernicus bucked the science of his day. </w:t>
      </w:r>
      <w:r w:rsidR="00767DC8">
        <w:t>Interestingly, r</w:t>
      </w:r>
      <w:r>
        <w:t>ecords show it was not the empirical evidence that persuaded him, but his philosophic and religious convictions. Copernicus’ Neo-Platonic commitment to a rationally ordered universe led him to believe that mathematics was the</w:t>
      </w:r>
      <w:r w:rsidR="004C163D">
        <w:t xml:space="preserve"> language used by God and acts</w:t>
      </w:r>
      <w:r>
        <w:t xml:space="preserve"> as a cause for ev</w:t>
      </w:r>
      <w:r w:rsidR="004C163D">
        <w:t>erything in the material world.</w:t>
      </w:r>
      <w:r w:rsidR="004C163D">
        <w:rPr>
          <w:rStyle w:val="FootnoteReference"/>
        </w:rPr>
        <w:footnoteReference w:id="2"/>
      </w:r>
      <w:r w:rsidR="004C163D">
        <w:t xml:space="preserve"> This conviction led him to cho</w:t>
      </w:r>
      <w:r w:rsidR="00350DFE">
        <w:t>o</w:t>
      </w:r>
      <w:r w:rsidR="004C163D">
        <w:t xml:space="preserve">se his mathematically simpler heliocentric model over the more complicated, albeit more common sense, geocentric model. </w:t>
      </w:r>
      <w:r w:rsidR="00BE612C">
        <w:t>His mathematically simpler, “more pleasing to the mind”</w:t>
      </w:r>
      <w:r w:rsidR="00BE612C">
        <w:rPr>
          <w:rStyle w:val="FootnoteReference"/>
        </w:rPr>
        <w:footnoteReference w:id="3"/>
      </w:r>
      <w:r w:rsidR="00BE612C">
        <w:t xml:space="preserve">, model was developed in concert with his Christian beliefs, and to consider him a dissenter of the church is purely fiction. Certainly there were many who disagreed, but the fact that his book, </w:t>
      </w:r>
      <w:r w:rsidR="00BE612C">
        <w:rPr>
          <w:i/>
        </w:rPr>
        <w:t>Revolutions</w:t>
      </w:r>
      <w:r w:rsidR="00BE612C">
        <w:t>, was dedicated to the Pope highlights the exaggeration of this supposed conflict.</w:t>
      </w:r>
      <w:r w:rsidR="00B4479C">
        <w:rPr>
          <w:rStyle w:val="FootnoteReference"/>
        </w:rPr>
        <w:footnoteReference w:id="4"/>
      </w:r>
    </w:p>
    <w:p w:rsidR="004072D3" w:rsidRDefault="00350DFE" w:rsidP="002E5221">
      <w:pPr>
        <w:spacing w:line="480" w:lineRule="auto"/>
        <w:ind w:firstLine="720"/>
      </w:pPr>
      <w:r>
        <w:t xml:space="preserve">Greater complexity surrounds the Galileo controversy, as </w:t>
      </w:r>
      <w:r w:rsidR="00A76454">
        <w:t>numerous factors</w:t>
      </w:r>
      <w:r w:rsidR="00954DC6">
        <w:t xml:space="preserve"> led to this schism. </w:t>
      </w:r>
      <w:r w:rsidR="003B4DF6">
        <w:t>It is true that</w:t>
      </w:r>
      <w:r w:rsidR="00954DC6">
        <w:t xml:space="preserve"> Galileo was threatened by the Church for his views, his books placed on a banned book list, he was forced to recant his views, and he was sentenced to house arrest for the remainder of his life. </w:t>
      </w:r>
      <w:r w:rsidR="00DF069F">
        <w:t>But these facts only leave us with the outcome and say nothing</w:t>
      </w:r>
      <w:r w:rsidR="003B4DF6">
        <w:t xml:space="preserve"> about the events that caused the conflict</w:t>
      </w:r>
      <w:r w:rsidR="00DF069F">
        <w:t>, namely Galileo’s arrogance and the struggle for authority.</w:t>
      </w:r>
    </w:p>
    <w:p w:rsidR="004072D3" w:rsidRDefault="00DF069F" w:rsidP="002D3531">
      <w:pPr>
        <w:spacing w:line="480" w:lineRule="auto"/>
        <w:ind w:firstLine="720"/>
      </w:pPr>
      <w:r>
        <w:t xml:space="preserve">To begin, the Galileo controversy is rooted </w:t>
      </w:r>
      <w:r w:rsidR="00470CFE">
        <w:t>in Protestant Reformation soil. T</w:t>
      </w:r>
      <w:r>
        <w:t xml:space="preserve">he </w:t>
      </w:r>
      <w:r w:rsidR="00A75470">
        <w:t>authority of the Catholic Church had recently been</w:t>
      </w:r>
      <w:r w:rsidR="00470CFE">
        <w:t xml:space="preserve"> challenged, and t</w:t>
      </w:r>
      <w:r>
        <w:t>he fundamental issue of the day was who had final authority in matter</w:t>
      </w:r>
      <w:r w:rsidR="00A75470">
        <w:t>s</w:t>
      </w:r>
      <w:r>
        <w:t xml:space="preserve"> of faith and practice, the church or the </w:t>
      </w:r>
      <w:r w:rsidR="003B4DF6">
        <w:t>Bible as interpreted by man.</w:t>
      </w:r>
      <w:r w:rsidR="00A75470">
        <w:t xml:space="preserve"> Second, Galileo consider himself a good Catholic and </w:t>
      </w:r>
      <w:r w:rsidR="00A76454">
        <w:t>claimed that nature</w:t>
      </w:r>
      <w:r w:rsidR="00A75470">
        <w:t xml:space="preserve"> is a book written by the hand of God in the language of mathematics.</w:t>
      </w:r>
      <w:r w:rsidR="00A75470">
        <w:rPr>
          <w:rStyle w:val="FootnoteReference"/>
        </w:rPr>
        <w:footnoteReference w:id="5"/>
      </w:r>
      <w:r w:rsidR="00A75470">
        <w:t xml:space="preserve"> So to frame this </w:t>
      </w:r>
      <w:proofErr w:type="gramStart"/>
      <w:r w:rsidR="00A75470">
        <w:t>conflict</w:t>
      </w:r>
      <w:proofErr w:type="gramEnd"/>
      <w:r w:rsidR="00A75470">
        <w:t xml:space="preserve"> </w:t>
      </w:r>
      <w:r w:rsidR="003B4DF6">
        <w:t xml:space="preserve">as </w:t>
      </w:r>
      <w:r w:rsidR="00A75470">
        <w:t>religion versus science is simply misguided</w:t>
      </w:r>
      <w:r w:rsidR="00A76454">
        <w:t>,</w:t>
      </w:r>
      <w:r w:rsidR="00A75470">
        <w:t xml:space="preserve"> </w:t>
      </w:r>
      <w:r w:rsidR="00A76454">
        <w:t>for Galileo himself was very religious</w:t>
      </w:r>
      <w:r w:rsidR="00A75470">
        <w:t>. In fact, Galileo went to great lengths to harmonize the Bible with his views on science, for he was convinced that Scripture and science, both as God’s truths, could not contradict.</w:t>
      </w:r>
      <w:r w:rsidR="00A75470">
        <w:rPr>
          <w:rStyle w:val="FootnoteReference"/>
        </w:rPr>
        <w:footnoteReference w:id="6"/>
      </w:r>
      <w:r w:rsidR="00A75470">
        <w:t xml:space="preserve"> </w:t>
      </w:r>
      <w:r w:rsidR="00A76454">
        <w:t>So how did</w:t>
      </w:r>
      <w:r w:rsidR="00A13506">
        <w:t xml:space="preserve"> a committed Catholic scientist become a heretic in the eyes of the church?</w:t>
      </w:r>
    </w:p>
    <w:p w:rsidR="004072D3" w:rsidRPr="002E5221" w:rsidRDefault="009945CF" w:rsidP="002E5221">
      <w:pPr>
        <w:spacing w:line="480" w:lineRule="auto"/>
        <w:ind w:firstLine="720"/>
      </w:pPr>
      <w:r>
        <w:t>The</w:t>
      </w:r>
      <w:r w:rsidR="00470CFE">
        <w:t xml:space="preserve"> </w:t>
      </w:r>
      <w:r w:rsidR="003B4DF6">
        <w:t>clash</w:t>
      </w:r>
      <w:r w:rsidR="00470CFE">
        <w:t xml:space="preserve"> arose due to Galileo’s disagreement with the Pope over matters of Scriptural interpretation. </w:t>
      </w:r>
      <w:r w:rsidR="00A459CA">
        <w:t>The scientific disagreement itself did not cause the problem; it raised the underlying issue</w:t>
      </w:r>
      <w:r w:rsidR="00470CFE">
        <w:t>, authority. Reeling from the losses of the Protestant Reformation, the Catholic Church was fighting to maintain its authority. Galileo’s actions, though minor to the modern re</w:t>
      </w:r>
      <w:r w:rsidR="003B4DF6">
        <w:t>ader, were deemed heretical</w:t>
      </w:r>
      <w:r w:rsidR="00A459CA">
        <w:t>, for they challenged church authority</w:t>
      </w:r>
      <w:r w:rsidR="003B4DF6">
        <w:t>. And</w:t>
      </w:r>
      <w:r w:rsidR="00470CFE">
        <w:t xml:space="preserve"> to make matters worse, Galileo wrote a book that appeared to many to mock the Pope for his geocentric views. The culmination of these events ultimately led to Galileo’s </w:t>
      </w:r>
      <w:r w:rsidR="006C5B95">
        <w:t>trial</w:t>
      </w:r>
      <w:r w:rsidR="00470CFE">
        <w:t xml:space="preserve">, his recantation, and his house arrest. </w:t>
      </w:r>
    </w:p>
    <w:p w:rsidR="003B4DF6" w:rsidRDefault="00676B6A" w:rsidP="002E5221">
      <w:pPr>
        <w:spacing w:line="480" w:lineRule="auto"/>
      </w:pPr>
      <w:r>
        <w:rPr>
          <w:i/>
        </w:rPr>
        <w:t>Lesson</w:t>
      </w:r>
      <w:r w:rsidR="003B4DF6">
        <w:rPr>
          <w:i/>
        </w:rPr>
        <w:t xml:space="preserve"> Learned from Copernicus and Galileo</w:t>
      </w:r>
    </w:p>
    <w:p w:rsidR="00646345" w:rsidRDefault="0009458F" w:rsidP="002E5221">
      <w:pPr>
        <w:spacing w:line="480" w:lineRule="auto"/>
      </w:pPr>
      <w:r>
        <w:t>The major lesson</w:t>
      </w:r>
      <w:r w:rsidR="00676B6A">
        <w:t xml:space="preserve"> learned from the heliocentric controversy is thi</w:t>
      </w:r>
      <w:r>
        <w:t>s: past events are rarely deduc</w:t>
      </w:r>
      <w:r w:rsidR="00676B6A">
        <w:t xml:space="preserve">ed to simple </w:t>
      </w:r>
      <w:r>
        <w:t xml:space="preserve">“us vs. them” conflicts. Rather, events must be understood in light of their historic context, giving attention to individual opinions, socio-political happenings, and scientific knowledge of the day. After a thorough historical assessment of this clash, it is apparent that no explicit conflict existed between science and religion per se, but over authority. Certainly the church was involved, but the battle was not over science – it </w:t>
      </w:r>
      <w:r w:rsidR="00A459CA">
        <w:t>just happened</w:t>
      </w:r>
      <w:r>
        <w:t xml:space="preserve"> that science was the </w:t>
      </w:r>
      <w:r w:rsidR="00A13506">
        <w:t xml:space="preserve">weapon wielded to challenge church </w:t>
      </w:r>
      <w:r>
        <w:t xml:space="preserve">authority. </w:t>
      </w:r>
    </w:p>
    <w:p w:rsidR="00646345" w:rsidRDefault="006C5B95" w:rsidP="002E5221">
      <w:pPr>
        <w:pStyle w:val="Heading1"/>
        <w:spacing w:line="480" w:lineRule="auto"/>
      </w:pPr>
      <w:r>
        <w:t>The Scopes Tria</w:t>
      </w:r>
      <w:r w:rsidR="00646345">
        <w:t>l</w:t>
      </w:r>
    </w:p>
    <w:p w:rsidR="00E31741" w:rsidRDefault="00646345" w:rsidP="002E5221">
      <w:pPr>
        <w:spacing w:line="480" w:lineRule="auto"/>
      </w:pPr>
      <w:r>
        <w:t xml:space="preserve">In 1859, Charles Darwin published his book, </w:t>
      </w:r>
      <w:r>
        <w:rPr>
          <w:i/>
        </w:rPr>
        <w:t>On the Origin of Species</w:t>
      </w:r>
      <w:r>
        <w:t>, which put forth a theory attempting to explain the diversity of life by purely natural mechanisms. What made this book so monumental was Darwin’s attempt to explain the diversity of life without positing God. The tables had turned. Science was now making claims that carried with them tremendous philosophical and religious implications. This</w:t>
      </w:r>
      <w:r w:rsidR="00D2084A">
        <w:t xml:space="preserve"> clash of worldviews is often typified</w:t>
      </w:r>
      <w:r>
        <w:t xml:space="preserve"> via the Scopes </w:t>
      </w:r>
      <w:r w:rsidR="006C5B95">
        <w:t>Trial</w:t>
      </w:r>
      <w:r>
        <w:t xml:space="preserve"> –</w:t>
      </w:r>
      <w:r w:rsidR="00E31741">
        <w:t xml:space="preserve"> science triumphing over an ignorant</w:t>
      </w:r>
      <w:r>
        <w:t xml:space="preserve">, archaic faith. Popular stories about the </w:t>
      </w:r>
      <w:r w:rsidR="006C5B95">
        <w:t>trial</w:t>
      </w:r>
      <w:r>
        <w:t xml:space="preserve">, </w:t>
      </w:r>
      <w:r w:rsidR="00D2084A">
        <w:t>depicted</w:t>
      </w:r>
      <w:r w:rsidR="00E31741">
        <w:t xml:space="preserve"> in the movie </w:t>
      </w:r>
      <w:r w:rsidR="00E31741">
        <w:rPr>
          <w:i/>
        </w:rPr>
        <w:t>Inherit the Wind</w:t>
      </w:r>
      <w:r w:rsidR="00E31741">
        <w:t>,</w:t>
      </w:r>
      <w:r>
        <w:t xml:space="preserve"> tell of </w:t>
      </w:r>
      <w:r w:rsidR="00E31741">
        <w:t xml:space="preserve">a fundamentalist Christian blindly clinging to a literal interpretation of the Bible over against clear, reasoned science. The movie portrays Christians receiving a deadly blow from modern academia, forever relegating them to the private realm. But was this how the event transpired? Did Christianity receive the final blow from science in the 1925 Scopes </w:t>
      </w:r>
      <w:r w:rsidR="006C5B95">
        <w:t>Trial</w:t>
      </w:r>
      <w:r w:rsidR="00E31741">
        <w:t>?</w:t>
      </w:r>
    </w:p>
    <w:p w:rsidR="003F2549" w:rsidRDefault="005A49C0" w:rsidP="002E5221">
      <w:pPr>
        <w:spacing w:line="480" w:lineRule="auto"/>
        <w:ind w:firstLine="720"/>
      </w:pPr>
      <w:r>
        <w:t>As the modern scientific movement swept across the western world in the early 1900’s, so too did Darwin’s theory of evolution. Many Christians were alarmed by the implication of the new theory. Not only did Darwinian evolution reject the idea of God’s creative activity in th</w:t>
      </w:r>
      <w:r w:rsidR="00F6483A">
        <w:t xml:space="preserve">e natural order, </w:t>
      </w:r>
      <w:proofErr w:type="gramStart"/>
      <w:r w:rsidR="00F6483A">
        <w:t>but</w:t>
      </w:r>
      <w:proofErr w:type="gramEnd"/>
      <w:r w:rsidR="00F6483A">
        <w:t xml:space="preserve"> Darwin implied</w:t>
      </w:r>
      <w:r>
        <w:t xml:space="preserve"> mankind </w:t>
      </w:r>
      <w:r w:rsidR="00F6483A">
        <w:t xml:space="preserve">was </w:t>
      </w:r>
      <w:r>
        <w:t>nothing more than another animal. Chr</w:t>
      </w:r>
      <w:r w:rsidR="00CD56EB">
        <w:t xml:space="preserve">istians rightly understood </w:t>
      </w:r>
      <w:r>
        <w:t xml:space="preserve">this new teaching would destroy all grounding for human rights, values, and </w:t>
      </w:r>
      <w:r w:rsidR="003F2549">
        <w:t xml:space="preserve">dignity in addition to undermining objective morality. For fear of societal damage, the anti-evolutionists campaigned to outlaw Darwinian teaching from the classroom. </w:t>
      </w:r>
    </w:p>
    <w:p w:rsidR="00800BDA" w:rsidRDefault="008D6CDE" w:rsidP="002E5221">
      <w:pPr>
        <w:spacing w:line="480" w:lineRule="auto"/>
        <w:ind w:firstLine="720"/>
      </w:pPr>
      <w:r>
        <w:t xml:space="preserve">In 1925, </w:t>
      </w:r>
      <w:r w:rsidR="00D56DFA">
        <w:t>Tennessee outlawed the teaching of the theory of human evolution. The ACLU, anxious to challenge the ruling, in concert with the Dayton, TN town leaders, arranged a friendly indictment of a local science teacher, John Scopes. The town wanted publicity and the ACLU wanted to fight for free speech. Hundreds of reporters soon swarmed into Dayton for what was dubbed “a battle-</w:t>
      </w:r>
      <w:proofErr w:type="spellStart"/>
      <w:r w:rsidR="00D56DFA">
        <w:t>royale</w:t>
      </w:r>
      <w:proofErr w:type="spellEnd"/>
      <w:r w:rsidR="00D56DFA">
        <w:t xml:space="preserve"> between science and religion.”</w:t>
      </w:r>
      <w:r w:rsidR="00D56DFA">
        <w:rPr>
          <w:rStyle w:val="FootnoteReference"/>
        </w:rPr>
        <w:footnoteReference w:id="7"/>
      </w:r>
      <w:r w:rsidR="00D56DFA">
        <w:t xml:space="preserve"> The prosecution team </w:t>
      </w:r>
      <w:r w:rsidR="00800BDA">
        <w:t>included three-time Democratic Party presidential nominee and religious c</w:t>
      </w:r>
      <w:r w:rsidR="008C3137">
        <w:t>onservative William Jennings Bry</w:t>
      </w:r>
      <w:r w:rsidR="00800BDA">
        <w:t xml:space="preserve">an – a man known for his opposition to the survival of the fittest teachings of Darwin. With </w:t>
      </w:r>
      <w:r w:rsidR="00F6483A">
        <w:t>crusading secularist lawyer Clarence Darrow on the defense team</w:t>
      </w:r>
      <w:r w:rsidR="00800BDA">
        <w:t xml:space="preserve">, the </w:t>
      </w:r>
      <w:r w:rsidR="006C5B95">
        <w:t>trial</w:t>
      </w:r>
      <w:r w:rsidR="00800BDA">
        <w:t xml:space="preserve"> was a surefire media spectacle. </w:t>
      </w:r>
    </w:p>
    <w:p w:rsidR="007B32F2" w:rsidRDefault="00800BDA" w:rsidP="002E5221">
      <w:pPr>
        <w:spacing w:line="480" w:lineRule="auto"/>
      </w:pPr>
      <w:r>
        <w:t xml:space="preserve"> </w:t>
      </w:r>
      <w:r w:rsidR="002E5221">
        <w:tab/>
      </w:r>
      <w:r w:rsidR="007B32F2">
        <w:t>The tria</w:t>
      </w:r>
      <w:r w:rsidR="006148AA">
        <w:t>l was fairly uneventful for the most part, as the content basically centered on whether or not Scopes had violated the law – which he obviously did. Talk of religion and science almost never surfaced</w:t>
      </w:r>
      <w:r w:rsidR="008C3137">
        <w:t>. Anxious to defend his anti-evolution views, Bryan volunteered to take the witness stand and give Darrow an opportunity to challenge him. Bryan stated: “They did not come here to try this case. They came here to try revealed religion. I am here to defend it, and they can ask me any questions they please.”</w:t>
      </w:r>
      <w:r w:rsidR="008C3137">
        <w:rPr>
          <w:rStyle w:val="FootnoteReference"/>
        </w:rPr>
        <w:footnoteReference w:id="8"/>
      </w:r>
      <w:r w:rsidR="007B32F2">
        <w:t xml:space="preserve"> And Darrow did just that. He fired questions at Bryan in an attempt to make his Biblical beliefs look foolish. </w:t>
      </w:r>
    </w:p>
    <w:p w:rsidR="007B32F2" w:rsidRDefault="00AE5F3D" w:rsidP="003868CE">
      <w:pPr>
        <w:ind w:left="720"/>
      </w:pPr>
      <w:r>
        <w:t xml:space="preserve">Darrow: </w:t>
      </w:r>
      <w:r w:rsidR="007B32F2">
        <w:t>“You claim that everything in the Bible should be literally interpreted?</w:t>
      </w:r>
      <w:r>
        <w:t>”</w:t>
      </w:r>
    </w:p>
    <w:p w:rsidR="00310CE3" w:rsidRDefault="00310CE3" w:rsidP="003868CE">
      <w:pPr>
        <w:ind w:left="720"/>
      </w:pPr>
    </w:p>
    <w:p w:rsidR="007B32F2" w:rsidRDefault="00AE5F3D" w:rsidP="003868CE">
      <w:pPr>
        <w:ind w:left="720"/>
      </w:pPr>
      <w:r>
        <w:t xml:space="preserve">Bryan: </w:t>
      </w:r>
      <w:r w:rsidR="007B32F2">
        <w:t>“I believe everything in the Bible should be accepted as it is given there; some of the Bible is given illustratively…</w:t>
      </w:r>
      <w:r>
        <w:t>”</w:t>
      </w:r>
    </w:p>
    <w:p w:rsidR="00310CE3" w:rsidRDefault="00310CE3" w:rsidP="003868CE">
      <w:pPr>
        <w:ind w:left="720"/>
      </w:pPr>
    </w:p>
    <w:p w:rsidR="007B32F2" w:rsidRDefault="00AE5F3D" w:rsidP="003868CE">
      <w:pPr>
        <w:ind w:left="720"/>
      </w:pPr>
      <w:r>
        <w:t xml:space="preserve">Darrow: </w:t>
      </w:r>
      <w:r w:rsidR="007B32F2">
        <w:t>“But when you read that…the whale swallowed Jonah…how do you literally interpret that?</w:t>
      </w:r>
      <w:r>
        <w:t>”</w:t>
      </w:r>
    </w:p>
    <w:p w:rsidR="00310CE3" w:rsidRDefault="00310CE3" w:rsidP="003868CE">
      <w:pPr>
        <w:ind w:left="720"/>
      </w:pPr>
    </w:p>
    <w:p w:rsidR="00783F8C" w:rsidRDefault="00AE5F3D" w:rsidP="003868CE">
      <w:pPr>
        <w:ind w:left="720"/>
      </w:pPr>
      <w:r>
        <w:t xml:space="preserve">Bryan: </w:t>
      </w:r>
      <w:r w:rsidR="007B32F2">
        <w:t>“</w:t>
      </w:r>
      <w:r w:rsidR="00783F8C">
        <w:t>…I believe in a God who can make a whale and can make a man and make both of them do what he pleases…</w:t>
      </w:r>
      <w:r>
        <w:t>”</w:t>
      </w:r>
    </w:p>
    <w:p w:rsidR="00310CE3" w:rsidRDefault="00310CE3" w:rsidP="003868CE">
      <w:pPr>
        <w:ind w:left="720"/>
      </w:pPr>
    </w:p>
    <w:p w:rsidR="00783F8C" w:rsidRDefault="00AE5F3D" w:rsidP="003868CE">
      <w:pPr>
        <w:ind w:left="720"/>
      </w:pPr>
      <w:r>
        <w:t xml:space="preserve">Darrow: </w:t>
      </w:r>
      <w:r w:rsidR="00783F8C">
        <w:t>“But do you believe he made them – that he made such a fish and it was big enough to swallow Jonah?</w:t>
      </w:r>
      <w:r>
        <w:t>”</w:t>
      </w:r>
    </w:p>
    <w:p w:rsidR="00310CE3" w:rsidRDefault="00310CE3" w:rsidP="003868CE">
      <w:pPr>
        <w:ind w:left="720"/>
      </w:pPr>
    </w:p>
    <w:p w:rsidR="00783F8C" w:rsidRDefault="00AE5F3D" w:rsidP="003868CE">
      <w:pPr>
        <w:ind w:left="720"/>
      </w:pPr>
      <w:r>
        <w:t xml:space="preserve">Bryan: </w:t>
      </w:r>
      <w:r w:rsidR="00783F8C">
        <w:t>“Yes sir. Let me add: One miracle is just as easy to believe as another.</w:t>
      </w:r>
      <w:r>
        <w:t>”</w:t>
      </w:r>
    </w:p>
    <w:p w:rsidR="00310CE3" w:rsidRDefault="00310CE3" w:rsidP="003868CE">
      <w:pPr>
        <w:ind w:left="720"/>
      </w:pPr>
    </w:p>
    <w:p w:rsidR="00783F8C" w:rsidRDefault="00AE5F3D" w:rsidP="003868CE">
      <w:pPr>
        <w:ind w:left="720"/>
      </w:pPr>
      <w:r>
        <w:t xml:space="preserve">Darrow: </w:t>
      </w:r>
      <w:r w:rsidR="00783F8C">
        <w:t>“It is for me…just as hard.</w:t>
      </w:r>
      <w:r>
        <w:t>”</w:t>
      </w:r>
    </w:p>
    <w:p w:rsidR="00310CE3" w:rsidRDefault="00310CE3" w:rsidP="003868CE">
      <w:pPr>
        <w:ind w:left="720"/>
      </w:pPr>
    </w:p>
    <w:p w:rsidR="00783F8C" w:rsidRDefault="00AE5F3D" w:rsidP="003868CE">
      <w:pPr>
        <w:ind w:left="720"/>
      </w:pPr>
      <w:r>
        <w:t xml:space="preserve">Bryan: </w:t>
      </w:r>
      <w:r w:rsidR="00783F8C">
        <w:t>“It is hard to believe for you, but easy for me…</w:t>
      </w:r>
      <w:proofErr w:type="gramStart"/>
      <w:r w:rsidR="00783F8C">
        <w:t>When</w:t>
      </w:r>
      <w:proofErr w:type="gramEnd"/>
      <w:r w:rsidR="00783F8C">
        <w:t xml:space="preserve"> you get beyond what man can do, you get within the realm of miracles; and it is just as easy to believe the miracle of Jonah as any other miracle in the Bible.”</w:t>
      </w:r>
      <w:r w:rsidR="00783F8C">
        <w:rPr>
          <w:rStyle w:val="FootnoteReference"/>
        </w:rPr>
        <w:footnoteReference w:id="9"/>
      </w:r>
    </w:p>
    <w:p w:rsidR="003868CE" w:rsidRDefault="003868CE" w:rsidP="002E5221">
      <w:pPr>
        <w:spacing w:line="480" w:lineRule="auto"/>
        <w:ind w:firstLine="720"/>
      </w:pPr>
    </w:p>
    <w:p w:rsidR="0077046E" w:rsidRDefault="00783F8C" w:rsidP="002E5221">
      <w:pPr>
        <w:spacing w:line="480" w:lineRule="auto"/>
        <w:ind w:firstLine="720"/>
      </w:pPr>
      <w:r>
        <w:t xml:space="preserve">After two hours of heated debate, the judge halted the interrogation. Although modern myth portrays the </w:t>
      </w:r>
      <w:r w:rsidR="006C5B95">
        <w:t>trial</w:t>
      </w:r>
      <w:r>
        <w:t xml:space="preserve"> as an overwhelming victory for the evolutionists, the editorials of the time rendered the outcome inconclusive. The Christians hailed Bryan’s defense, and Darrow’s fans equally rallied behind the champion of their cause. </w:t>
      </w:r>
      <w:r w:rsidR="0077046E">
        <w:t xml:space="preserve">Regardless of one’s opinion about the dialogue, either side cannot claim a victory since the topic of evolution was not even debated. At best, the trial was a media extravaganza, further entrenching the presupposed beliefs of the spectators. </w:t>
      </w:r>
    </w:p>
    <w:p w:rsidR="005E5556" w:rsidRDefault="006C5B95" w:rsidP="002E5221">
      <w:pPr>
        <w:spacing w:line="480" w:lineRule="auto"/>
      </w:pPr>
      <w:r>
        <w:rPr>
          <w:i/>
        </w:rPr>
        <w:t>Lessons Learned from the Scopes Trial</w:t>
      </w:r>
    </w:p>
    <w:p w:rsidR="002D3531" w:rsidRDefault="00F550C0" w:rsidP="002D3531">
      <w:pPr>
        <w:spacing w:line="480" w:lineRule="auto"/>
        <w:ind w:firstLine="720"/>
      </w:pPr>
      <w:r>
        <w:t>Two lessons may be drawn from a study of the Scopes Trial. First, the scientific or doctrinal positions taken by individuals are not necessarily that of the worldview proper. Skeptics will often point to an incident such as the Scopes Trial, equate Christianity with the views of one particular person, and then ridicule Christianity based on this one man’s views. But this</w:t>
      </w:r>
      <w:r w:rsidR="00EE3246">
        <w:t xml:space="preserve"> type of straw man argument</w:t>
      </w:r>
      <w:r>
        <w:t xml:space="preserve"> is intellectually dishonest. To defeat the Christian w</w:t>
      </w:r>
      <w:r w:rsidR="002D3531">
        <w:t xml:space="preserve">orldview, one must show a direct contradiction between science and Christianity, not science and the opinions of one man. </w:t>
      </w:r>
    </w:p>
    <w:p w:rsidR="00BB0885" w:rsidRDefault="002D3531" w:rsidP="002E5221">
      <w:pPr>
        <w:spacing w:line="480" w:lineRule="auto"/>
      </w:pPr>
      <w:r>
        <w:tab/>
        <w:t xml:space="preserve">Second, no inherent conflict exists between science and Christianity, but rather in the interpretations of scientists </w:t>
      </w:r>
      <w:r w:rsidR="00EE3246">
        <w:t>and theologians. As David Lindberg</w:t>
      </w:r>
      <w:r>
        <w:t xml:space="preserve"> states, </w:t>
      </w:r>
      <w:r w:rsidR="00700E57">
        <w:t>“We must never forget that, strictly speaking, ideas cannot clash and theoretical claims cannot, of themselves, engage in combat. It is people who fight over theoretical and methodological claim</w:t>
      </w:r>
      <w:r w:rsidR="00BB0885">
        <w:t>s</w:t>
      </w:r>
      <w:r w:rsidR="00700E57">
        <w:t>, people who clash over ideological issues. And when people are involved, human interests and local circumstances are inevitably present as well.”</w:t>
      </w:r>
      <w:r w:rsidR="00700E57">
        <w:rPr>
          <w:rStyle w:val="FootnoteReference"/>
        </w:rPr>
        <w:footnoteReference w:id="10"/>
      </w:r>
      <w:r>
        <w:t xml:space="preserve"> Science, as defined above, is the study of the natural world; therefore, science, by definition, cannot speak to the supernatural, for it is outside the realm of scientific study. Christianity</w:t>
      </w:r>
      <w:r w:rsidR="00BB0885">
        <w:t>, on the other hand,</w:t>
      </w:r>
      <w:r>
        <w:t xml:space="preserve"> is a worldview of which science is a part. So plainly one can see that scientific and religious interpretations may have implications for one another, but the </w:t>
      </w:r>
      <w:r w:rsidR="007E42BD">
        <w:t>fields themselves are not in conflict.</w:t>
      </w:r>
    </w:p>
    <w:p w:rsidR="00BB0885" w:rsidRDefault="00BB0885" w:rsidP="00BB0885">
      <w:pPr>
        <w:pStyle w:val="Heading1"/>
      </w:pPr>
      <w:r>
        <w:t>The Future of Science and Christianity</w:t>
      </w:r>
    </w:p>
    <w:p w:rsidR="00BB0885" w:rsidRDefault="00BB0885" w:rsidP="00BB0885"/>
    <w:p w:rsidR="00866A36" w:rsidRDefault="003D2043" w:rsidP="00844F09">
      <w:pPr>
        <w:spacing w:line="480" w:lineRule="auto"/>
        <w:ind w:firstLine="720"/>
      </w:pPr>
      <w:r>
        <w:t xml:space="preserve">As exhibited in the two examples given, the view that science and religion are mortal enemies, forever in conflict, is simply misguided. When humans are involved in any endeavor, bringing with them desires, ideas, values, and worldviews, the outcome is sure to be complex. Most certainly conflict will continue, but the root of the </w:t>
      </w:r>
      <w:r w:rsidR="00EE3246">
        <w:t>conflict will lie with the individuals and worldviews</w:t>
      </w:r>
      <w:r>
        <w:t>, not the disciplines themselves.</w:t>
      </w:r>
      <w:r w:rsidR="00866A36">
        <w:t xml:space="preserve"> So how should the Christi</w:t>
      </w:r>
      <w:r w:rsidR="00310CE3">
        <w:t>a</w:t>
      </w:r>
      <w:r w:rsidR="00EE3246">
        <w:t>n respond to science? Should he</w:t>
      </w:r>
      <w:r w:rsidR="00310CE3">
        <w:t xml:space="preserve"> shun science and cling to theology alone or does he </w:t>
      </w:r>
      <w:r w:rsidR="00866A36">
        <w:t>engage?</w:t>
      </w:r>
    </w:p>
    <w:p w:rsidR="00866A36" w:rsidRDefault="00866A36" w:rsidP="00844F09">
      <w:pPr>
        <w:spacing w:line="480" w:lineRule="auto"/>
        <w:ind w:firstLine="720"/>
      </w:pPr>
      <w:r>
        <w:t xml:space="preserve">As opposed to the naturalist, the Christian is in a unique </w:t>
      </w:r>
      <w:r w:rsidR="00310CE3">
        <w:t xml:space="preserve">position </w:t>
      </w:r>
      <w:r>
        <w:t>reg</w:t>
      </w:r>
      <w:r w:rsidR="009A4421">
        <w:t>arding science. On this</w:t>
      </w:r>
      <w:r>
        <w:t xml:space="preserve"> worldview, nature is not an end in itself, but the work of an </w:t>
      </w:r>
      <w:proofErr w:type="gramStart"/>
      <w:r>
        <w:t>all-wise</w:t>
      </w:r>
      <w:proofErr w:type="gramEnd"/>
      <w:r>
        <w:t xml:space="preserve">, all-powerful God. </w:t>
      </w:r>
      <w:r w:rsidR="000B02E4">
        <w:t>With a rational, personal God as the source, science not only has meanin</w:t>
      </w:r>
      <w:r w:rsidR="004E05CC">
        <w:t>g, but science becomes rational,</w:t>
      </w:r>
      <w:r w:rsidR="009A4421">
        <w:t xml:space="preserve"> and t</w:t>
      </w:r>
      <w:r w:rsidR="004E05CC">
        <w:t>his is what the Christian finds:</w:t>
      </w:r>
      <w:r w:rsidR="009A4421">
        <w:t xml:space="preserve"> </w:t>
      </w:r>
      <w:r w:rsidR="000B02E4">
        <w:t xml:space="preserve">a rational, intelligible universe. </w:t>
      </w:r>
      <w:r w:rsidR="00310CE3">
        <w:t xml:space="preserve"> Therefore,</w:t>
      </w:r>
      <w:r w:rsidR="000B02E4">
        <w:t xml:space="preserve"> Christian</w:t>
      </w:r>
      <w:r w:rsidR="00EE3246">
        <w:t>s</w:t>
      </w:r>
      <w:r w:rsidR="009A4421">
        <w:t xml:space="preserve"> should embrace science because </w:t>
      </w:r>
      <w:r w:rsidR="000B02E4">
        <w:t xml:space="preserve">through this study he comes to know his creator. As Johannes </w:t>
      </w:r>
      <w:proofErr w:type="spellStart"/>
      <w:r w:rsidR="000B02E4">
        <w:t>Kepler</w:t>
      </w:r>
      <w:proofErr w:type="spellEnd"/>
      <w:r w:rsidR="000B02E4">
        <w:t xml:space="preserve"> said, “The chief aim of all investigation of the external world should be to discover the rational order and harmony which has been imposed on it by God and which He revealed to us…”</w:t>
      </w:r>
      <w:r w:rsidR="000B02E4">
        <w:rPr>
          <w:rStyle w:val="FootnoteReference"/>
        </w:rPr>
        <w:footnoteReference w:id="11"/>
      </w:r>
      <w:r w:rsidR="009A4421">
        <w:t xml:space="preserve"> Go explore and understand the universe; it was created for that purpose. </w:t>
      </w:r>
    </w:p>
    <w:p w:rsidR="00F7330F" w:rsidRPr="00BB0885" w:rsidRDefault="00F7330F" w:rsidP="00BB0885"/>
    <w:sectPr w:rsidR="00F7330F" w:rsidRPr="00BB0885" w:rsidSect="003B5F9B">
      <w:headerReference w:type="default" r:id="rId5"/>
      <w:pgSz w:w="12240" w:h="15840"/>
      <w:pgMar w:top="1440" w:right="1440" w:bottom="1440" w:left="1440" w:gutter="0"/>
      <w:pgNumType w:start="0"/>
      <w:titlePg/>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4E05CC" w:rsidRDefault="004E05CC">
      <w:pPr>
        <w:pStyle w:val="FootnoteText"/>
      </w:pPr>
      <w:r>
        <w:rPr>
          <w:rStyle w:val="FootnoteReference"/>
        </w:rPr>
        <w:footnoteRef/>
      </w:r>
      <w:r>
        <w:t xml:space="preserve"> David Lindberg and Ronald Numbers, </w:t>
      </w:r>
      <w:r w:rsidRPr="002844B8">
        <w:rPr>
          <w:i/>
        </w:rPr>
        <w:t>God &amp; Nature</w:t>
      </w:r>
      <w:r>
        <w:rPr>
          <w:i/>
        </w:rPr>
        <w:t>: Historical Essays on the Encounter Between Christianity and Science</w:t>
      </w:r>
      <w:r>
        <w:t xml:space="preserve"> (Berkeley: University of California Press, 1986), 10.</w:t>
      </w:r>
    </w:p>
  </w:footnote>
  <w:footnote w:id="0">
    <w:p w:rsidR="004E05CC" w:rsidRDefault="004E05CC">
      <w:pPr>
        <w:pStyle w:val="FootnoteText"/>
      </w:pPr>
      <w:r>
        <w:rPr>
          <w:rStyle w:val="FootnoteReference"/>
        </w:rPr>
        <w:footnoteRef/>
      </w:r>
      <w:r>
        <w:t xml:space="preserve"> Nancy </w:t>
      </w:r>
      <w:proofErr w:type="spellStart"/>
      <w:r>
        <w:t>Pearcey</w:t>
      </w:r>
      <w:proofErr w:type="spellEnd"/>
      <w:r>
        <w:t xml:space="preserve"> and Charles </w:t>
      </w:r>
      <w:proofErr w:type="spellStart"/>
      <w:r>
        <w:t>Thaxton</w:t>
      </w:r>
      <w:proofErr w:type="spellEnd"/>
      <w:r>
        <w:t xml:space="preserve">, </w:t>
      </w:r>
      <w:r>
        <w:rPr>
          <w:i/>
        </w:rPr>
        <w:t>The Soul of Science: Christian Faith and Natural Philosophy</w:t>
      </w:r>
      <w:r>
        <w:t xml:space="preserve"> (Wheaton: Crossway Books, 1994), 37.</w:t>
      </w:r>
    </w:p>
  </w:footnote>
  <w:footnote w:id="1">
    <w:p w:rsidR="004E05CC" w:rsidRDefault="004E05CC">
      <w:pPr>
        <w:pStyle w:val="FootnoteText"/>
      </w:pPr>
      <w:r>
        <w:rPr>
          <w:rStyle w:val="FootnoteReference"/>
        </w:rPr>
        <w:footnoteRef/>
      </w:r>
      <w:r>
        <w:t xml:space="preserve"> David Lindberg, “Galileo, the Church, and the Cosmos,” in </w:t>
      </w:r>
      <w:r w:rsidRPr="005B7FEB">
        <w:rPr>
          <w:i/>
        </w:rPr>
        <w:t>When Science &amp; Christianity Meet</w:t>
      </w:r>
      <w:r>
        <w:t>, ed. David Lindberg and Ronald Numbers (Chicago: University of Chicago Press, 2003), 39-40.</w:t>
      </w:r>
    </w:p>
  </w:footnote>
  <w:footnote w:id="2">
    <w:p w:rsidR="004E05CC" w:rsidRDefault="004E05CC">
      <w:pPr>
        <w:pStyle w:val="FootnoteText"/>
      </w:pPr>
      <w:r>
        <w:rPr>
          <w:rStyle w:val="FootnoteReference"/>
        </w:rPr>
        <w:footnoteRef/>
      </w:r>
      <w:r>
        <w:t xml:space="preserve"> Nancy </w:t>
      </w:r>
      <w:proofErr w:type="spellStart"/>
      <w:r>
        <w:t>Pearcey</w:t>
      </w:r>
      <w:proofErr w:type="spellEnd"/>
      <w:r>
        <w:t xml:space="preserve"> and Charles </w:t>
      </w:r>
      <w:proofErr w:type="spellStart"/>
      <w:r>
        <w:t>Thaxton</w:t>
      </w:r>
      <w:proofErr w:type="spellEnd"/>
      <w:r>
        <w:t>, 64.</w:t>
      </w:r>
    </w:p>
  </w:footnote>
  <w:footnote w:id="3">
    <w:p w:rsidR="004E05CC" w:rsidRDefault="004E05CC">
      <w:pPr>
        <w:pStyle w:val="FootnoteText"/>
      </w:pPr>
      <w:r>
        <w:rPr>
          <w:rStyle w:val="FootnoteReference"/>
        </w:rPr>
        <w:footnoteRef/>
      </w:r>
      <w:r>
        <w:t xml:space="preserve"> Owen </w:t>
      </w:r>
      <w:proofErr w:type="spellStart"/>
      <w:r>
        <w:t>Gingerich</w:t>
      </w:r>
      <w:proofErr w:type="spellEnd"/>
      <w:r>
        <w:t xml:space="preserve">, “The Copernican Revolution,” in </w:t>
      </w:r>
      <w:r w:rsidRPr="005A4F3A">
        <w:rPr>
          <w:i/>
        </w:rPr>
        <w:t>Science &amp; Religion</w:t>
      </w:r>
      <w:r>
        <w:rPr>
          <w:i/>
        </w:rPr>
        <w:t>: A Historical Introduction</w:t>
      </w:r>
      <w:r>
        <w:t xml:space="preserve">, ed. Gary </w:t>
      </w:r>
      <w:proofErr w:type="spellStart"/>
      <w:r>
        <w:t>Ferngren</w:t>
      </w:r>
      <w:proofErr w:type="spellEnd"/>
      <w:r>
        <w:t xml:space="preserve"> (Baltimore: Johns Hopkins University Press, 2002), </w:t>
      </w:r>
      <w:proofErr w:type="gramStart"/>
      <w:r>
        <w:t>97</w:t>
      </w:r>
      <w:proofErr w:type="gramEnd"/>
      <w:r>
        <w:t>.</w:t>
      </w:r>
    </w:p>
  </w:footnote>
  <w:footnote w:id="4">
    <w:p w:rsidR="004E05CC" w:rsidRDefault="004E05CC">
      <w:pPr>
        <w:pStyle w:val="FootnoteText"/>
      </w:pPr>
      <w:r>
        <w:rPr>
          <w:rStyle w:val="FootnoteReference"/>
        </w:rPr>
        <w:footnoteRef/>
      </w:r>
      <w:r>
        <w:t xml:space="preserve"> David Lindberg, 41.</w:t>
      </w:r>
    </w:p>
  </w:footnote>
  <w:footnote w:id="5">
    <w:p w:rsidR="004E05CC" w:rsidRDefault="004E05CC">
      <w:pPr>
        <w:pStyle w:val="FootnoteText"/>
      </w:pPr>
      <w:r>
        <w:rPr>
          <w:rStyle w:val="FootnoteReference"/>
        </w:rPr>
        <w:footnoteRef/>
      </w:r>
      <w:r>
        <w:t xml:space="preserve"> Rodney Stark, </w:t>
      </w:r>
      <w:r>
        <w:rPr>
          <w:i/>
        </w:rPr>
        <w:t>For the Glory of God: How Monotheism Led to Reformations, Science, Witch-Hunts, and the End of Slavery</w:t>
      </w:r>
      <w:r>
        <w:t xml:space="preserve"> (Princeton: Princeton University Press, 2003), 165.</w:t>
      </w:r>
    </w:p>
  </w:footnote>
  <w:footnote w:id="6">
    <w:p w:rsidR="004E05CC" w:rsidRDefault="004E05CC">
      <w:pPr>
        <w:pStyle w:val="FootnoteText"/>
      </w:pPr>
      <w:r>
        <w:rPr>
          <w:rStyle w:val="FootnoteReference"/>
        </w:rPr>
        <w:footnoteRef/>
      </w:r>
      <w:r>
        <w:t xml:space="preserve"> Richard Blackwell, “Galileo </w:t>
      </w:r>
      <w:proofErr w:type="spellStart"/>
      <w:r>
        <w:t>Galilei</w:t>
      </w:r>
      <w:proofErr w:type="spellEnd"/>
      <w:r>
        <w:t xml:space="preserve">,” in </w:t>
      </w:r>
      <w:r w:rsidRPr="00444D86">
        <w:rPr>
          <w:i/>
        </w:rPr>
        <w:t>Science &amp; Religion</w:t>
      </w:r>
      <w:r>
        <w:rPr>
          <w:i/>
        </w:rPr>
        <w:t>: A Historical Introduction</w:t>
      </w:r>
      <w:r>
        <w:t xml:space="preserve">, ed. Gary </w:t>
      </w:r>
      <w:proofErr w:type="spellStart"/>
      <w:r>
        <w:t>Ferngren</w:t>
      </w:r>
      <w:proofErr w:type="spellEnd"/>
      <w:r>
        <w:t xml:space="preserve"> (Baltimore: Johns Hopkins University Press, 2002), </w:t>
      </w:r>
      <w:proofErr w:type="gramStart"/>
      <w:r>
        <w:t>111</w:t>
      </w:r>
      <w:proofErr w:type="gramEnd"/>
      <w:r>
        <w:t>.</w:t>
      </w:r>
    </w:p>
  </w:footnote>
  <w:footnote w:id="7">
    <w:p w:rsidR="004E05CC" w:rsidRDefault="004E05CC">
      <w:pPr>
        <w:pStyle w:val="FootnoteText"/>
      </w:pPr>
      <w:r>
        <w:rPr>
          <w:rStyle w:val="FootnoteReference"/>
        </w:rPr>
        <w:footnoteRef/>
      </w:r>
      <w:r>
        <w:t xml:space="preserve"> Edward Larson, “That the Scopes Trial Ended in Defeat for Antievolutionism,” in </w:t>
      </w:r>
      <w:r w:rsidRPr="00444D86">
        <w:rPr>
          <w:i/>
        </w:rPr>
        <w:t>Galileo Goes to Jail</w:t>
      </w:r>
      <w:r>
        <w:t xml:space="preserve">: </w:t>
      </w:r>
      <w:r w:rsidRPr="00444D86">
        <w:rPr>
          <w:i/>
        </w:rPr>
        <w:t>and Other Myths About Science and Religion</w:t>
      </w:r>
      <w:r>
        <w:t>, ed. Ronald Numbers (Cambridge: Harvard University Press, 2009), 178.</w:t>
      </w:r>
    </w:p>
  </w:footnote>
  <w:footnote w:id="8">
    <w:p w:rsidR="004E05CC" w:rsidRDefault="004E05CC">
      <w:pPr>
        <w:pStyle w:val="FootnoteText"/>
      </w:pPr>
      <w:r>
        <w:rPr>
          <w:rStyle w:val="FootnoteReference"/>
        </w:rPr>
        <w:footnoteRef/>
      </w:r>
      <w:r>
        <w:t xml:space="preserve"> Ibid</w:t>
      </w:r>
      <w:proofErr w:type="gramStart"/>
      <w:r>
        <w:t>.,</w:t>
      </w:r>
      <w:proofErr w:type="gramEnd"/>
      <w:r>
        <w:t xml:space="preserve"> 181</w:t>
      </w:r>
    </w:p>
  </w:footnote>
  <w:footnote w:id="9">
    <w:p w:rsidR="004E05CC" w:rsidRDefault="004E05CC">
      <w:pPr>
        <w:pStyle w:val="FootnoteText"/>
      </w:pPr>
      <w:r>
        <w:rPr>
          <w:rStyle w:val="FootnoteReference"/>
        </w:rPr>
        <w:footnoteRef/>
      </w:r>
      <w:r>
        <w:t xml:space="preserve"> Ibid</w:t>
      </w:r>
      <w:proofErr w:type="gramStart"/>
      <w:r>
        <w:t>.,</w:t>
      </w:r>
      <w:proofErr w:type="gramEnd"/>
      <w:r>
        <w:t xml:space="preserve"> 182</w:t>
      </w:r>
    </w:p>
  </w:footnote>
  <w:footnote w:id="10">
    <w:p w:rsidR="004E05CC" w:rsidRDefault="004E05CC">
      <w:pPr>
        <w:pStyle w:val="FootnoteText"/>
      </w:pPr>
      <w:r>
        <w:rPr>
          <w:rStyle w:val="FootnoteReference"/>
        </w:rPr>
        <w:footnoteRef/>
      </w:r>
      <w:r>
        <w:t xml:space="preserve"> David Lindberg, 34.</w:t>
      </w:r>
    </w:p>
  </w:footnote>
  <w:footnote w:id="11">
    <w:p w:rsidR="004E05CC" w:rsidRDefault="004E05CC">
      <w:pPr>
        <w:pStyle w:val="FootnoteText"/>
      </w:pPr>
      <w:r>
        <w:rPr>
          <w:rStyle w:val="FootnoteReference"/>
        </w:rPr>
        <w:footnoteRef/>
      </w:r>
      <w:r>
        <w:t xml:space="preserve"> </w:t>
      </w:r>
      <w:proofErr w:type="spellStart"/>
      <w:r>
        <w:t>Nancey</w:t>
      </w:r>
      <w:proofErr w:type="spellEnd"/>
      <w:r>
        <w:t xml:space="preserve"> </w:t>
      </w:r>
      <w:proofErr w:type="spellStart"/>
      <w:r>
        <w:t>Pearcey</w:t>
      </w:r>
      <w:proofErr w:type="spellEnd"/>
      <w:r>
        <w:t xml:space="preserve"> and Charles Thaxton, 126.</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5CC" w:rsidRDefault="004E05CC" w:rsidP="003B5F9B">
    <w:pPr>
      <w:pStyle w:val="Header"/>
      <w:jc w:val="right"/>
    </w:pPr>
    <w:r>
      <w:rPr>
        <w:rStyle w:val="PageNumber"/>
      </w:rPr>
      <w:fldChar w:fldCharType="begin"/>
    </w:r>
    <w:r>
      <w:rPr>
        <w:rStyle w:val="PageNumber"/>
      </w:rPr>
      <w:instrText xml:space="preserve"> PAGE </w:instrText>
    </w:r>
    <w:r>
      <w:rPr>
        <w:rStyle w:val="PageNumber"/>
      </w:rPr>
      <w:fldChar w:fldCharType="separate"/>
    </w:r>
    <w:r w:rsidR="002E3F7A">
      <w:rPr>
        <w:rStyle w:val="PageNumber"/>
        <w:noProof/>
      </w:rPr>
      <w:t>9</w:t>
    </w:r>
    <w:r>
      <w:rPr>
        <w:rStyle w:val="PageNumber"/>
      </w:rPr>
      <w:fldChar w:fldCharType="end"/>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A6896"/>
    <w:rsid w:val="00017771"/>
    <w:rsid w:val="0009458F"/>
    <w:rsid w:val="000B02E4"/>
    <w:rsid w:val="00121E06"/>
    <w:rsid w:val="00176D2E"/>
    <w:rsid w:val="002844B8"/>
    <w:rsid w:val="002A6896"/>
    <w:rsid w:val="002D1DA7"/>
    <w:rsid w:val="002D3531"/>
    <w:rsid w:val="002E3F7A"/>
    <w:rsid w:val="002E4265"/>
    <w:rsid w:val="002E5221"/>
    <w:rsid w:val="00310CE3"/>
    <w:rsid w:val="00350DFE"/>
    <w:rsid w:val="003655D5"/>
    <w:rsid w:val="003868CE"/>
    <w:rsid w:val="0039684B"/>
    <w:rsid w:val="003B4DF6"/>
    <w:rsid w:val="003B5F9B"/>
    <w:rsid w:val="003D2043"/>
    <w:rsid w:val="003F2549"/>
    <w:rsid w:val="003F59C8"/>
    <w:rsid w:val="004072D3"/>
    <w:rsid w:val="00444D86"/>
    <w:rsid w:val="00462FD2"/>
    <w:rsid w:val="00470CFE"/>
    <w:rsid w:val="004C163D"/>
    <w:rsid w:val="004E05CC"/>
    <w:rsid w:val="00515609"/>
    <w:rsid w:val="005262C5"/>
    <w:rsid w:val="00550484"/>
    <w:rsid w:val="00552FFB"/>
    <w:rsid w:val="005A49C0"/>
    <w:rsid w:val="005A4F3A"/>
    <w:rsid w:val="005B7FEB"/>
    <w:rsid w:val="005E5556"/>
    <w:rsid w:val="006148AA"/>
    <w:rsid w:val="00621AD5"/>
    <w:rsid w:val="00646345"/>
    <w:rsid w:val="00676B6A"/>
    <w:rsid w:val="006B6018"/>
    <w:rsid w:val="006C5B95"/>
    <w:rsid w:val="00700E57"/>
    <w:rsid w:val="007576AC"/>
    <w:rsid w:val="00760407"/>
    <w:rsid w:val="00767DC8"/>
    <w:rsid w:val="0077046E"/>
    <w:rsid w:val="00783F8C"/>
    <w:rsid w:val="007B32F2"/>
    <w:rsid w:val="007E42BD"/>
    <w:rsid w:val="00800BDA"/>
    <w:rsid w:val="00844F09"/>
    <w:rsid w:val="00866A36"/>
    <w:rsid w:val="008C3137"/>
    <w:rsid w:val="008D6CDE"/>
    <w:rsid w:val="009519D0"/>
    <w:rsid w:val="00954DC6"/>
    <w:rsid w:val="0098207C"/>
    <w:rsid w:val="009945CF"/>
    <w:rsid w:val="009A4421"/>
    <w:rsid w:val="00A13506"/>
    <w:rsid w:val="00A459CA"/>
    <w:rsid w:val="00A509F5"/>
    <w:rsid w:val="00A75470"/>
    <w:rsid w:val="00A76454"/>
    <w:rsid w:val="00AE4672"/>
    <w:rsid w:val="00AE5F3D"/>
    <w:rsid w:val="00B4479C"/>
    <w:rsid w:val="00B646B9"/>
    <w:rsid w:val="00B75BF1"/>
    <w:rsid w:val="00B91E71"/>
    <w:rsid w:val="00BB0885"/>
    <w:rsid w:val="00BE612C"/>
    <w:rsid w:val="00C73A20"/>
    <w:rsid w:val="00C81933"/>
    <w:rsid w:val="00CB7E43"/>
    <w:rsid w:val="00CD56EB"/>
    <w:rsid w:val="00D2084A"/>
    <w:rsid w:val="00D56DFA"/>
    <w:rsid w:val="00D81D4C"/>
    <w:rsid w:val="00D97A37"/>
    <w:rsid w:val="00DE105C"/>
    <w:rsid w:val="00DF069F"/>
    <w:rsid w:val="00DF1E6C"/>
    <w:rsid w:val="00E1393F"/>
    <w:rsid w:val="00E31741"/>
    <w:rsid w:val="00E900B2"/>
    <w:rsid w:val="00EE3246"/>
    <w:rsid w:val="00F550C0"/>
    <w:rsid w:val="00F6483A"/>
    <w:rsid w:val="00F7330F"/>
    <w:rsid w:val="00FF0197"/>
  </w:rsids>
  <m:mathPr>
    <m:mathFont m:val="ヒラギノ角ゴ Pro W3"/>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F6A"/>
  </w:style>
  <w:style w:type="paragraph" w:styleId="Heading1">
    <w:name w:val="heading 1"/>
    <w:basedOn w:val="Normal"/>
    <w:next w:val="Normal"/>
    <w:link w:val="Heading1Char"/>
    <w:uiPriority w:val="9"/>
    <w:qFormat/>
    <w:rsid w:val="00E900B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semiHidden/>
    <w:unhideWhenUsed/>
    <w:rsid w:val="00A509F5"/>
  </w:style>
  <w:style w:type="character" w:customStyle="1" w:styleId="FootnoteTextChar">
    <w:name w:val="Footnote Text Char"/>
    <w:basedOn w:val="DefaultParagraphFont"/>
    <w:link w:val="FootnoteText"/>
    <w:uiPriority w:val="99"/>
    <w:semiHidden/>
    <w:rsid w:val="00A509F5"/>
  </w:style>
  <w:style w:type="character" w:styleId="FootnoteReference">
    <w:name w:val="footnote reference"/>
    <w:basedOn w:val="DefaultParagraphFont"/>
    <w:uiPriority w:val="99"/>
    <w:semiHidden/>
    <w:unhideWhenUsed/>
    <w:rsid w:val="00A509F5"/>
    <w:rPr>
      <w:vertAlign w:val="superscript"/>
    </w:rPr>
  </w:style>
  <w:style w:type="character" w:customStyle="1" w:styleId="Heading1Char">
    <w:name w:val="Heading 1 Char"/>
    <w:basedOn w:val="DefaultParagraphFont"/>
    <w:link w:val="Heading1"/>
    <w:uiPriority w:val="9"/>
    <w:rsid w:val="00E900B2"/>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semiHidden/>
    <w:unhideWhenUsed/>
    <w:rsid w:val="003B5F9B"/>
    <w:pPr>
      <w:tabs>
        <w:tab w:val="center" w:pos="4320"/>
        <w:tab w:val="right" w:pos="8640"/>
      </w:tabs>
    </w:pPr>
  </w:style>
  <w:style w:type="character" w:customStyle="1" w:styleId="HeaderChar">
    <w:name w:val="Header Char"/>
    <w:basedOn w:val="DefaultParagraphFont"/>
    <w:link w:val="Header"/>
    <w:uiPriority w:val="99"/>
    <w:semiHidden/>
    <w:rsid w:val="003B5F9B"/>
  </w:style>
  <w:style w:type="paragraph" w:styleId="Footer">
    <w:name w:val="footer"/>
    <w:basedOn w:val="Normal"/>
    <w:link w:val="FooterChar"/>
    <w:uiPriority w:val="99"/>
    <w:semiHidden/>
    <w:unhideWhenUsed/>
    <w:rsid w:val="003B5F9B"/>
    <w:pPr>
      <w:tabs>
        <w:tab w:val="center" w:pos="4320"/>
        <w:tab w:val="right" w:pos="8640"/>
      </w:tabs>
    </w:pPr>
  </w:style>
  <w:style w:type="character" w:customStyle="1" w:styleId="FooterChar">
    <w:name w:val="Footer Char"/>
    <w:basedOn w:val="DefaultParagraphFont"/>
    <w:link w:val="Footer"/>
    <w:uiPriority w:val="99"/>
    <w:semiHidden/>
    <w:rsid w:val="003B5F9B"/>
  </w:style>
  <w:style w:type="character" w:styleId="PageNumber">
    <w:name w:val="page number"/>
    <w:basedOn w:val="DefaultParagraphFont"/>
    <w:uiPriority w:val="99"/>
    <w:semiHidden/>
    <w:unhideWhenUsed/>
    <w:rsid w:val="003B5F9B"/>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otnotes" Target="footnotes.xml"/><Relationship Id="rId5" Type="http://schemas.openxmlformats.org/officeDocument/2006/relationships/header" Target="header1.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582</TotalTime>
  <Pages>10</Pages>
  <Words>2182</Words>
  <Characters>12443</Characters>
  <Application>Microsoft Macintosh Word</Application>
  <DocSecurity>0</DocSecurity>
  <Lines>103</Lines>
  <Paragraphs>24</Paragraphs>
  <ScaleCrop>false</ScaleCrop>
  <LinksUpToDate>false</LinksUpToDate>
  <CharactersWithSpaces>15280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Jordan Tong</cp:lastModifiedBy>
  <cp:revision>45</cp:revision>
  <dcterms:created xsi:type="dcterms:W3CDTF">2012-11-14T22:31:00Z</dcterms:created>
  <dcterms:modified xsi:type="dcterms:W3CDTF">2012-12-03T17:13:00Z</dcterms:modified>
</cp:coreProperties>
</file>